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FE" w:rsidRDefault="00BB526D">
      <w:pPr>
        <w:spacing w:after="0" w:line="240" w:lineRule="auto"/>
        <w:outlineLvl w:val="1"/>
        <w:rPr>
          <w:rFonts w:eastAsia="Times New Roman"/>
          <w:b/>
          <w:bCs/>
          <w:color w:val="365F91" w:themeColor="accent1" w:themeShade="BF"/>
          <w:kern w:val="2"/>
          <w:sz w:val="36"/>
          <w:szCs w:val="36"/>
          <w:lang w:eastAsia="et-EE"/>
        </w:rPr>
      </w:pPr>
      <w:r>
        <w:rPr>
          <w:noProof/>
          <w:lang w:eastAsia="et-EE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-7620</wp:posOffset>
            </wp:positionV>
            <wp:extent cx="2781300" cy="826770"/>
            <wp:effectExtent l="0" t="0" r="0" b="0"/>
            <wp:wrapNone/>
            <wp:docPr id="1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972" t="28046" r="40923" b="25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365F91" w:themeColor="accent1" w:themeShade="BF"/>
          <w:kern w:val="2"/>
          <w:sz w:val="36"/>
          <w:szCs w:val="36"/>
          <w:lang w:eastAsia="et-EE"/>
        </w:rPr>
        <w:t xml:space="preserve">Ettevalmistus keemiaolümpiaadiks III  </w:t>
      </w:r>
    </w:p>
    <w:p w:rsidR="00A36DFE" w:rsidRDefault="00BB526D">
      <w:pPr>
        <w:spacing w:before="120" w:after="120"/>
        <w:ind w:left="212"/>
        <w:rPr>
          <w:rFonts w:ascii="Cambria" w:hAnsi="Cambria"/>
          <w:b/>
          <w:color w:val="365F91" w:themeColor="accent1" w:themeShade="BF"/>
          <w:spacing w:val="-1"/>
          <w:sz w:val="28"/>
        </w:rPr>
      </w:pPr>
      <w:r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e-kursus </w:t>
      </w:r>
      <w:proofErr w:type="spellStart"/>
      <w:r>
        <w:rPr>
          <w:rFonts w:ascii="Cambria" w:hAnsi="Cambria"/>
          <w:i/>
          <w:color w:val="365F91" w:themeColor="accent1" w:themeShade="BF"/>
          <w:spacing w:val="-1"/>
          <w:sz w:val="24"/>
        </w:rPr>
        <w:t>Moodle</w:t>
      </w:r>
      <w:proofErr w:type="spellEnd"/>
      <w:r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 </w:t>
      </w:r>
      <w:proofErr w:type="spellStart"/>
      <w:r>
        <w:rPr>
          <w:rFonts w:ascii="Cambria" w:hAnsi="Cambria"/>
          <w:i/>
          <w:color w:val="365F91" w:themeColor="accent1" w:themeShade="BF"/>
          <w:spacing w:val="-1"/>
          <w:sz w:val="24"/>
        </w:rPr>
        <w:t>e-õppe</w:t>
      </w:r>
      <w:proofErr w:type="spellEnd"/>
      <w:r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 keskkonnas</w:t>
      </w:r>
    </w:p>
    <w:p w:rsidR="00A36DFE" w:rsidRDefault="00BB526D" w:rsidP="003E696A">
      <w:pPr>
        <w:spacing w:after="60" w:line="240" w:lineRule="auto"/>
        <w:ind w:left="360"/>
        <w:outlineLvl w:val="1"/>
        <w:rPr>
          <w:rFonts w:eastAsia="Times New Roman"/>
          <w:b/>
          <w:bCs/>
          <w:color w:val="365F91" w:themeColor="accent1" w:themeShade="BF"/>
          <w:kern w:val="2"/>
          <w:sz w:val="24"/>
          <w:szCs w:val="24"/>
          <w:lang w:eastAsia="et-EE"/>
        </w:rPr>
      </w:pPr>
      <w:r>
        <w:rPr>
          <w:rFonts w:eastAsia="Times New Roman"/>
          <w:b/>
          <w:bCs/>
          <w:color w:val="365F91" w:themeColor="accent1" w:themeShade="BF"/>
          <w:kern w:val="2"/>
          <w:sz w:val="24"/>
          <w:szCs w:val="24"/>
          <w:lang w:eastAsia="et-EE"/>
        </w:rPr>
        <w:t xml:space="preserve">See kursus on Sulle, kui </w:t>
      </w:r>
    </w:p>
    <w:p w:rsidR="00A36DFE" w:rsidRDefault="00BB526D" w:rsidP="003E696A">
      <w:pPr>
        <w:pStyle w:val="ListParagraph"/>
        <w:numPr>
          <w:ilvl w:val="0"/>
          <w:numId w:val="1"/>
        </w:numPr>
        <w:spacing w:after="160" w:line="240" w:lineRule="auto"/>
      </w:pPr>
      <w:r>
        <w:rPr>
          <w:rFonts w:hAnsiTheme="minorHAnsi" w:cstheme="minorHAnsi"/>
          <w:sz w:val="24"/>
          <w:szCs w:val="24"/>
        </w:rPr>
        <w:t>õpid</w:t>
      </w:r>
      <w:r>
        <w:rPr>
          <w:rFonts w:hAnsiTheme="minorHAnsi" w:cstheme="minorHAnsi"/>
          <w:spacing w:val="-3"/>
          <w:sz w:val="24"/>
          <w:szCs w:val="24"/>
        </w:rPr>
        <w:t xml:space="preserve"> 11</w:t>
      </w:r>
      <w:r>
        <w:rPr>
          <w:rFonts w:hAnsiTheme="minorHAnsi" w:cstheme="minorHAnsi"/>
          <w:sz w:val="24"/>
          <w:szCs w:val="24"/>
        </w:rPr>
        <w:t>.–12.</w:t>
      </w:r>
      <w:r>
        <w:rPr>
          <w:rFonts w:hAnsiTheme="minorHAnsi" w:cstheme="minorHAnsi"/>
          <w:spacing w:val="-1"/>
          <w:sz w:val="24"/>
          <w:szCs w:val="24"/>
        </w:rPr>
        <w:t xml:space="preserve"> klassis</w:t>
      </w:r>
    </w:p>
    <w:p w:rsidR="00A36DFE" w:rsidRDefault="00BB526D" w:rsidP="003E696A">
      <w:pPr>
        <w:pStyle w:val="ListParagraph"/>
        <w:numPr>
          <w:ilvl w:val="0"/>
          <w:numId w:val="1"/>
        </w:numPr>
        <w:spacing w:after="160" w:line="240" w:lineRule="auto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tunned huvi keemia vastu</w:t>
      </w:r>
    </w:p>
    <w:p w:rsidR="00A36DFE" w:rsidRDefault="00BB526D" w:rsidP="003E696A">
      <w:pPr>
        <w:pStyle w:val="ListParagraph"/>
        <w:numPr>
          <w:ilvl w:val="0"/>
          <w:numId w:val="1"/>
        </w:numPr>
        <w:spacing w:after="160" w:line="240" w:lineRule="auto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oled juba osalenud keemiaolümpiaadil</w:t>
      </w:r>
    </w:p>
    <w:p w:rsidR="00A36DFE" w:rsidRDefault="00BB526D" w:rsidP="003E696A">
      <w:pPr>
        <w:pStyle w:val="ListParagraph"/>
        <w:numPr>
          <w:ilvl w:val="0"/>
          <w:numId w:val="1"/>
        </w:numPr>
        <w:spacing w:after="160" w:line="240" w:lineRule="auto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tahad valmistuda keemiaolümpiaadi piirkonnavooruks ning treenida ülesannete lahendamise oskust</w:t>
      </w:r>
    </w:p>
    <w:p w:rsidR="00A36DFE" w:rsidRDefault="00BB526D">
      <w:pPr>
        <w:pStyle w:val="Heading1"/>
        <w:spacing w:before="0" w:after="200" w:line="292" w:lineRule="exact"/>
        <w:ind w:left="360"/>
        <w:rPr>
          <w:color w:val="365F91" w:themeColor="accent1" w:themeShade="BF"/>
          <w:spacing w:val="-1"/>
        </w:rPr>
      </w:pPr>
      <w:proofErr w:type="spellStart"/>
      <w:r>
        <w:rPr>
          <w:color w:val="365F91" w:themeColor="accent1" w:themeShade="BF"/>
          <w:spacing w:val="-1"/>
        </w:rPr>
        <w:t>Õpiväljundid</w:t>
      </w:r>
      <w:proofErr w:type="spellEnd"/>
      <w:r>
        <w:rPr>
          <w:color w:val="365F91" w:themeColor="accent1" w:themeShade="BF"/>
          <w:spacing w:val="-1"/>
        </w:rPr>
        <w:t xml:space="preserve"> </w:t>
      </w:r>
    </w:p>
    <w:p w:rsidR="00A36DFE" w:rsidRDefault="00BB526D">
      <w:pPr>
        <w:pStyle w:val="Heading1"/>
        <w:spacing w:before="120" w:after="120" w:line="292" w:lineRule="exact"/>
        <w:ind w:left="360"/>
        <w:rPr>
          <w:b w:val="0"/>
          <w:spacing w:val="-1"/>
        </w:rPr>
      </w:pPr>
      <w:proofErr w:type="spellStart"/>
      <w:r w:rsidRPr="003E696A">
        <w:rPr>
          <w:b w:val="0"/>
          <w:spacing w:val="-1"/>
        </w:rPr>
        <w:t>Kursuse</w:t>
      </w:r>
      <w:proofErr w:type="spellEnd"/>
      <w:r w:rsidRPr="003E696A">
        <w:rPr>
          <w:b w:val="0"/>
          <w:spacing w:val="-11"/>
        </w:rPr>
        <w:t xml:space="preserve"> </w:t>
      </w:r>
      <w:proofErr w:type="spellStart"/>
      <w:r w:rsidRPr="003E696A">
        <w:rPr>
          <w:b w:val="0"/>
          <w:spacing w:val="-1"/>
        </w:rPr>
        <w:t>läbinud</w:t>
      </w:r>
      <w:proofErr w:type="spellEnd"/>
      <w:r w:rsidRPr="003E696A">
        <w:rPr>
          <w:b w:val="0"/>
          <w:spacing w:val="-10"/>
        </w:rPr>
        <w:t xml:space="preserve"> </w:t>
      </w:r>
      <w:proofErr w:type="spellStart"/>
      <w:r w:rsidRPr="003E696A">
        <w:rPr>
          <w:b w:val="0"/>
          <w:spacing w:val="-1"/>
        </w:rPr>
        <w:t>õpilane</w:t>
      </w:r>
      <w:proofErr w:type="spellEnd"/>
      <w:r w:rsidRPr="003E696A">
        <w:rPr>
          <w:b w:val="0"/>
          <w:spacing w:val="-1"/>
        </w:rPr>
        <w:t>:</w:t>
      </w:r>
    </w:p>
    <w:p w:rsidR="00A36DFE" w:rsidRDefault="00BB526D" w:rsidP="003E696A">
      <w:pPr>
        <w:pStyle w:val="ListParagraph"/>
        <w:numPr>
          <w:ilvl w:val="0"/>
          <w:numId w:val="2"/>
        </w:numPr>
        <w:spacing w:after="160" w:line="240" w:lineRule="auto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on tutvunud erinevate olü</w:t>
      </w:r>
      <w:r w:rsidR="003E696A">
        <w:rPr>
          <w:rFonts w:hAnsiTheme="minorHAnsi" w:cstheme="minorHAnsi"/>
          <w:sz w:val="24"/>
          <w:szCs w:val="24"/>
        </w:rPr>
        <w:t>mpiaadi</w:t>
      </w:r>
      <w:r>
        <w:rPr>
          <w:rFonts w:hAnsiTheme="minorHAnsi" w:cstheme="minorHAnsi"/>
          <w:sz w:val="24"/>
          <w:szCs w:val="24"/>
        </w:rPr>
        <w:t>tüüpi ülesannete ning nende lahendamismeetoditega;</w:t>
      </w:r>
    </w:p>
    <w:p w:rsidR="00A36DFE" w:rsidRDefault="00BB526D" w:rsidP="003E696A">
      <w:pPr>
        <w:pStyle w:val="ListParagraph"/>
        <w:numPr>
          <w:ilvl w:val="0"/>
          <w:numId w:val="2"/>
        </w:numPr>
        <w:spacing w:after="160" w:line="240" w:lineRule="auto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oskab lahendada olü</w:t>
      </w:r>
      <w:r w:rsidR="003E696A">
        <w:rPr>
          <w:rFonts w:hAnsiTheme="minorHAnsi" w:cstheme="minorHAnsi"/>
          <w:sz w:val="24"/>
          <w:szCs w:val="24"/>
        </w:rPr>
        <w:t>mpiaadi</w:t>
      </w:r>
      <w:r>
        <w:rPr>
          <w:rFonts w:hAnsiTheme="minorHAnsi" w:cstheme="minorHAnsi"/>
          <w:sz w:val="24"/>
          <w:szCs w:val="24"/>
        </w:rPr>
        <w:t>tüüpi ülesandeid ainete valemite määramise ning õige isomeeri tuvastamise kohta;</w:t>
      </w:r>
    </w:p>
    <w:p w:rsidR="00A36DFE" w:rsidRPr="006213B9" w:rsidRDefault="00BB526D" w:rsidP="001006BF">
      <w:pPr>
        <w:pStyle w:val="ListParagraph"/>
        <w:numPr>
          <w:ilvl w:val="0"/>
          <w:numId w:val="2"/>
        </w:numPr>
        <w:spacing w:after="160" w:line="259" w:lineRule="auto"/>
        <w:rPr>
          <w:rFonts w:hAnsiTheme="minorHAnsi" w:cstheme="minorHAnsi"/>
          <w:sz w:val="16"/>
          <w:szCs w:val="16"/>
        </w:rPr>
      </w:pPr>
      <w:r w:rsidRPr="006213B9">
        <w:rPr>
          <w:rFonts w:hAnsiTheme="minorHAnsi" w:cstheme="minorHAnsi"/>
          <w:sz w:val="24"/>
          <w:szCs w:val="24"/>
        </w:rPr>
        <w:t>suudab tuginedes ühikanalüüsile lihtsustada keerukamal teoorial põhinevat ülesannet ning see edukalt lahendada.</w:t>
      </w:r>
    </w:p>
    <w:p w:rsidR="00A36DFE" w:rsidRPr="006213B9" w:rsidRDefault="00BB526D">
      <w:pPr>
        <w:pStyle w:val="ListParagraph"/>
        <w:numPr>
          <w:ilvl w:val="0"/>
          <w:numId w:val="4"/>
        </w:numPr>
        <w:spacing w:before="40" w:after="40" w:line="240" w:lineRule="auto"/>
        <w:rPr>
          <w:rFonts w:eastAsia="Times New Roman"/>
          <w:b/>
          <w:bCs/>
          <w:kern w:val="2"/>
          <w:sz w:val="24"/>
          <w:szCs w:val="24"/>
          <w:lang w:eastAsia="et-EE"/>
        </w:rPr>
      </w:pPr>
      <w:r w:rsidRPr="006213B9">
        <w:rPr>
          <w:rFonts w:eastAsia="Times New Roman"/>
          <w:bCs/>
          <w:kern w:val="2"/>
          <w:sz w:val="24"/>
          <w:szCs w:val="24"/>
          <w:lang w:eastAsia="et-EE"/>
        </w:rPr>
        <w:t>Kursusele võetakse vastu ka</w:t>
      </w:r>
      <w:r w:rsidRPr="006213B9">
        <w:rPr>
          <w:rFonts w:eastAsia="Times New Roman"/>
          <w:b/>
          <w:bCs/>
          <w:kern w:val="2"/>
          <w:sz w:val="24"/>
          <w:szCs w:val="24"/>
          <w:lang w:eastAsia="et-EE"/>
        </w:rPr>
        <w:t xml:space="preserve"> õpilasrühmi (vt. reegleid!)  </w:t>
      </w:r>
    </w:p>
    <w:p w:rsidR="00A36DFE" w:rsidRPr="006213B9" w:rsidRDefault="00A36DFE">
      <w:pPr>
        <w:spacing w:after="0" w:line="240" w:lineRule="auto"/>
        <w:rPr>
          <w:rFonts w:eastAsia="Times New Roman"/>
          <w:b/>
          <w:color w:val="FF0000"/>
          <w:sz w:val="16"/>
          <w:szCs w:val="16"/>
          <w:lang w:eastAsia="et-EE"/>
        </w:rPr>
      </w:pPr>
    </w:p>
    <w:tbl>
      <w:tblPr>
        <w:tblW w:w="10456" w:type="dxa"/>
        <w:tblInd w:w="-5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3"/>
        <w:gridCol w:w="8363"/>
      </w:tblGrid>
      <w:tr w:rsidR="004747E0" w:rsidTr="00F114A0">
        <w:tc>
          <w:tcPr>
            <w:tcW w:w="2093" w:type="dxa"/>
            <w:shd w:val="clear" w:color="auto" w:fill="auto"/>
            <w:tcMar>
              <w:left w:w="103" w:type="dxa"/>
            </w:tcMar>
          </w:tcPr>
          <w:p w:rsidR="004747E0" w:rsidRPr="006213B9" w:rsidRDefault="004747E0" w:rsidP="00F114A0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 w:rsidRPr="006213B9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Ainekood</w:t>
            </w:r>
          </w:p>
        </w:tc>
        <w:tc>
          <w:tcPr>
            <w:tcW w:w="8363" w:type="dxa"/>
            <w:shd w:val="clear" w:color="auto" w:fill="auto"/>
            <w:tcMar>
              <w:left w:w="103" w:type="dxa"/>
            </w:tcMar>
          </w:tcPr>
          <w:p w:rsidR="004747E0" w:rsidRDefault="004747E0" w:rsidP="00F114A0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 w:rsidRPr="006213B9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P2TP.TK.092</w:t>
            </w:r>
            <w:bookmarkStart w:id="0" w:name="_GoBack"/>
            <w:bookmarkEnd w:id="0"/>
          </w:p>
        </w:tc>
      </w:tr>
      <w:tr w:rsidR="00A36DFE" w:rsidTr="00523848">
        <w:tc>
          <w:tcPr>
            <w:tcW w:w="2093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Kursuse maht</w:t>
            </w:r>
          </w:p>
        </w:tc>
        <w:tc>
          <w:tcPr>
            <w:tcW w:w="8363" w:type="dxa"/>
            <w:shd w:val="clear" w:color="auto" w:fill="auto"/>
            <w:tcMar>
              <w:left w:w="103" w:type="dxa"/>
            </w:tcMar>
          </w:tcPr>
          <w:p w:rsidR="00A36DFE" w:rsidRDefault="003E696A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3 EAP, 78</w:t>
            </w:r>
            <w:r w:rsidR="00BB526D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 xml:space="preserve"> akadeemilist tundi </w:t>
            </w:r>
          </w:p>
        </w:tc>
      </w:tr>
      <w:tr w:rsidR="00A36DFE" w:rsidTr="00523848">
        <w:tc>
          <w:tcPr>
            <w:tcW w:w="2093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Sihtrühm</w:t>
            </w:r>
          </w:p>
        </w:tc>
        <w:tc>
          <w:tcPr>
            <w:tcW w:w="8363" w:type="dxa"/>
            <w:shd w:val="clear" w:color="auto" w:fill="auto"/>
            <w:tcMar>
              <w:left w:w="103" w:type="dxa"/>
            </w:tcMar>
          </w:tcPr>
          <w:p w:rsidR="003E696A" w:rsidRDefault="003E696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11.-12. kl. õpilased;</w:t>
            </w:r>
          </w:p>
          <w:p w:rsidR="00A36DFE" w:rsidRDefault="00BB526D" w:rsidP="003E696A">
            <w:pPr>
              <w:spacing w:after="0" w:line="240" w:lineRule="auto"/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10. </w:t>
            </w:r>
            <w:r w:rsidR="003E696A">
              <w:rPr>
                <w:rFonts w:cs="Arial"/>
                <w:color w:val="000000"/>
                <w:sz w:val="24"/>
                <w:szCs w:val="24"/>
              </w:rPr>
              <w:t>kl. õpilased, kellel on läbitud kursus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3E696A">
              <w:rPr>
                <w:rFonts w:cs="Arial"/>
                <w:color w:val="000000"/>
                <w:sz w:val="24"/>
                <w:szCs w:val="24"/>
              </w:rPr>
              <w:t>„</w:t>
            </w:r>
            <w:r>
              <w:rPr>
                <w:rFonts w:cs="Arial"/>
                <w:color w:val="000000"/>
                <w:sz w:val="24"/>
                <w:szCs w:val="24"/>
              </w:rPr>
              <w:t>Etteva</w:t>
            </w:r>
            <w:r w:rsidR="003E696A">
              <w:rPr>
                <w:rFonts w:cs="Arial"/>
                <w:color w:val="000000"/>
                <w:sz w:val="24"/>
                <w:szCs w:val="24"/>
              </w:rPr>
              <w:t>lmistus keemiaolümpiaadiks II“</w:t>
            </w:r>
          </w:p>
        </w:tc>
      </w:tr>
      <w:tr w:rsidR="00A36DFE" w:rsidTr="00523848">
        <w:tc>
          <w:tcPr>
            <w:tcW w:w="2093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 xml:space="preserve">Õppejõud </w:t>
            </w:r>
          </w:p>
        </w:tc>
        <w:tc>
          <w:tcPr>
            <w:tcW w:w="8363" w:type="dxa"/>
            <w:shd w:val="clear" w:color="auto" w:fill="auto"/>
            <w:tcMar>
              <w:left w:w="103" w:type="dxa"/>
            </w:tcMar>
          </w:tcPr>
          <w:p w:rsidR="00A36DFE" w:rsidRPr="009A549D" w:rsidRDefault="00A52AE3" w:rsidP="00DB1CE6">
            <w:pPr>
              <w:spacing w:before="40" w:after="40" w:line="240" w:lineRule="auto"/>
              <w:rPr>
                <w:highlight w:val="yellow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Andreas Päkk</w:t>
            </w:r>
          </w:p>
        </w:tc>
      </w:tr>
      <w:tr w:rsidR="00A36DFE" w:rsidTr="00523848">
        <w:tc>
          <w:tcPr>
            <w:tcW w:w="2093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Osavõtutasu õpilastele</w:t>
            </w:r>
          </w:p>
        </w:tc>
        <w:tc>
          <w:tcPr>
            <w:tcW w:w="8363" w:type="dxa"/>
            <w:shd w:val="clear" w:color="auto" w:fill="auto"/>
            <w:tcMar>
              <w:left w:w="103" w:type="dxa"/>
            </w:tcMar>
          </w:tcPr>
          <w:p w:rsidR="00A36DFE" w:rsidRDefault="00564BB4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30</w:t>
            </w:r>
            <w:r w:rsidR="00BB526D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BB526D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eur</w:t>
            </w:r>
            <w:proofErr w:type="spellEnd"/>
          </w:p>
        </w:tc>
      </w:tr>
      <w:tr w:rsidR="00FB11AD" w:rsidTr="00523848">
        <w:tc>
          <w:tcPr>
            <w:tcW w:w="2093" w:type="dxa"/>
            <w:shd w:val="clear" w:color="auto" w:fill="auto"/>
            <w:tcMar>
              <w:left w:w="103" w:type="dxa"/>
            </w:tcMar>
          </w:tcPr>
          <w:p w:rsidR="00FB11AD" w:rsidRDefault="00FB11AD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 w:rsidRPr="00FB11AD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Tulumaksutagastus  füüsilisest isikust maksjale</w:t>
            </w:r>
          </w:p>
        </w:tc>
        <w:tc>
          <w:tcPr>
            <w:tcW w:w="8363" w:type="dxa"/>
            <w:shd w:val="clear" w:color="auto" w:fill="auto"/>
            <w:tcMar>
              <w:left w:w="103" w:type="dxa"/>
            </w:tcMar>
          </w:tcPr>
          <w:p w:rsidR="00FB11AD" w:rsidRDefault="00FB11AD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Ei</w:t>
            </w:r>
          </w:p>
        </w:tc>
      </w:tr>
      <w:tr w:rsidR="00A36DFE" w:rsidTr="00523848">
        <w:tc>
          <w:tcPr>
            <w:tcW w:w="2093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Õpetamise aeg</w:t>
            </w:r>
          </w:p>
        </w:tc>
        <w:tc>
          <w:tcPr>
            <w:tcW w:w="8363" w:type="dxa"/>
            <w:shd w:val="clear" w:color="auto" w:fill="auto"/>
            <w:tcMar>
              <w:left w:w="103" w:type="dxa"/>
            </w:tcMar>
          </w:tcPr>
          <w:p w:rsidR="00A36DFE" w:rsidRDefault="00D45DBF" w:rsidP="00564BB4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202</w:t>
            </w:r>
            <w:r w:rsidR="00066D98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5</w:t>
            </w:r>
            <w:r w:rsidR="008F65EC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/202</w:t>
            </w:r>
            <w:r w:rsidR="00066D98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6</w:t>
            </w:r>
            <w:r w:rsidR="008F65EC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 xml:space="preserve">. õ.-a., alates  </w:t>
            </w:r>
            <w:r w:rsidR="00066D98" w:rsidRPr="00066D98">
              <w:rPr>
                <w:rFonts w:eastAsia="Times New Roman"/>
                <w:b/>
                <w:color w:val="000000"/>
                <w:sz w:val="24"/>
                <w:szCs w:val="24"/>
                <w:lang w:eastAsia="et-EE"/>
              </w:rPr>
              <w:t>6</w:t>
            </w:r>
            <w:r w:rsidR="008F65EC" w:rsidRPr="00066D98">
              <w:rPr>
                <w:rFonts w:eastAsia="Times New Roman"/>
                <w:b/>
                <w:color w:val="000000"/>
                <w:sz w:val="24"/>
                <w:szCs w:val="24"/>
                <w:lang w:eastAsia="et-EE"/>
              </w:rPr>
              <w:t>. oktoobrist</w:t>
            </w:r>
            <w:r w:rsidR="008F65EC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 xml:space="preserve"> 20</w:t>
            </w: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2</w:t>
            </w:r>
            <w:r w:rsidR="00066D98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</w:tr>
      <w:tr w:rsidR="00A36DFE" w:rsidTr="00523848">
        <w:tc>
          <w:tcPr>
            <w:tcW w:w="2093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Õppetöö vorm</w:t>
            </w:r>
          </w:p>
        </w:tc>
        <w:tc>
          <w:tcPr>
            <w:tcW w:w="8363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spacing w:after="0" w:line="240" w:lineRule="auto"/>
              <w:jc w:val="both"/>
              <w:rPr>
                <w:rFonts w:cs="Calibri"/>
                <w:spacing w:val="-1"/>
                <w:sz w:val="24"/>
                <w:szCs w:val="24"/>
              </w:rPr>
            </w:pPr>
            <w:r>
              <w:rPr>
                <w:rFonts w:cs="Calibri"/>
                <w:spacing w:val="-1"/>
                <w:sz w:val="24"/>
                <w:szCs w:val="24"/>
              </w:rPr>
              <w:t>Õppetöö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1"/>
                <w:sz w:val="24"/>
                <w:szCs w:val="24"/>
              </w:rPr>
              <w:t>toimub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pacing w:val="-1"/>
                <w:sz w:val="24"/>
                <w:szCs w:val="24"/>
              </w:rPr>
              <w:t>Moodle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pacing w:val="-1"/>
                <w:sz w:val="24"/>
                <w:szCs w:val="24"/>
              </w:rPr>
              <w:t>e-õppe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1"/>
                <w:sz w:val="24"/>
                <w:szCs w:val="24"/>
              </w:rPr>
              <w:t>keskkonnas;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1"/>
                <w:sz w:val="24"/>
                <w:szCs w:val="24"/>
              </w:rPr>
              <w:t>kursusel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1"/>
                <w:sz w:val="24"/>
                <w:szCs w:val="24"/>
              </w:rPr>
              <w:t>osalemiseks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1"/>
                <w:sz w:val="24"/>
                <w:szCs w:val="24"/>
              </w:rPr>
              <w:t>on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1"/>
                <w:sz w:val="24"/>
                <w:szCs w:val="24"/>
              </w:rPr>
              <w:t>vajalik</w:t>
            </w:r>
            <w:r>
              <w:rPr>
                <w:rFonts w:cs="Calibri"/>
                <w:spacing w:val="87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arvuti</w:t>
            </w:r>
            <w:r>
              <w:rPr>
                <w:rFonts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ja</w:t>
            </w:r>
            <w:r>
              <w:rPr>
                <w:rFonts w:cs="Calibri"/>
                <w:spacing w:val="-1"/>
                <w:sz w:val="24"/>
                <w:szCs w:val="24"/>
              </w:rPr>
              <w:t xml:space="preserve"> interneti</w:t>
            </w:r>
            <w:r>
              <w:rPr>
                <w:rFonts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1"/>
                <w:sz w:val="24"/>
                <w:szCs w:val="24"/>
              </w:rPr>
              <w:t>kasutamise oskus</w:t>
            </w:r>
            <w:r>
              <w:rPr>
                <w:rFonts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ning</w:t>
            </w:r>
            <w:r>
              <w:rPr>
                <w:rFonts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1"/>
                <w:sz w:val="24"/>
                <w:szCs w:val="24"/>
              </w:rPr>
              <w:t>võimalus,</w:t>
            </w:r>
            <w:r>
              <w:rPr>
                <w:rFonts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e-maili</w:t>
            </w:r>
            <w:r>
              <w:rPr>
                <w:rFonts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1"/>
                <w:sz w:val="24"/>
                <w:szCs w:val="24"/>
              </w:rPr>
              <w:t>aadressi olemasolu.</w:t>
            </w:r>
          </w:p>
        </w:tc>
      </w:tr>
      <w:tr w:rsidR="00A36DFE" w:rsidTr="00523848">
        <w:tc>
          <w:tcPr>
            <w:tcW w:w="2093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Hindamise vorm ja lõpetamise tingimused</w:t>
            </w:r>
          </w:p>
        </w:tc>
        <w:tc>
          <w:tcPr>
            <w:tcW w:w="8363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Eristav (A, B, C, D, E, mitteilmunud);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koondhinne kujuneb nelja parima töö eest saadud tulemustest; </w:t>
            </w: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tunnistuse saamiseks peab õpilane saama vähemalt 50% koondpunktide maksimumist.</w:t>
            </w:r>
          </w:p>
        </w:tc>
      </w:tr>
      <w:tr w:rsidR="00A36DFE" w:rsidTr="00523848">
        <w:trPr>
          <w:trHeight w:val="967"/>
        </w:trPr>
        <w:tc>
          <w:tcPr>
            <w:tcW w:w="2093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spacing w:before="40" w:after="4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t-EE"/>
              </w:rPr>
              <w:t>Sisu lühikirjeldus</w:t>
            </w:r>
          </w:p>
          <w:p w:rsidR="00A36DFE" w:rsidRDefault="00A36DFE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363" w:type="dxa"/>
            <w:shd w:val="clear" w:color="auto" w:fill="auto"/>
            <w:tcMar>
              <w:left w:w="103" w:type="dxa"/>
            </w:tcMar>
          </w:tcPr>
          <w:p w:rsidR="00A36DFE" w:rsidRPr="003E696A" w:rsidRDefault="00BB526D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3E696A">
              <w:rPr>
                <w:rFonts w:cs="Arial"/>
                <w:color w:val="000000"/>
              </w:rPr>
              <w:t>Kursuse eesmärgiks on õpetada "olümpiaaditüüpi" ülesannete lahendamise metoodikat. Kursus koosneb viiest osast/teemast, iga</w:t>
            </w:r>
            <w:r w:rsidRPr="003E696A">
              <w:rPr>
                <w:rFonts w:eastAsia="Times New Roman"/>
                <w:bCs/>
                <w:lang w:eastAsia="et-EE"/>
              </w:rPr>
              <w:t xml:space="preserve"> osa kohta tuleb sooritada kontrolltöö.</w:t>
            </w:r>
            <w:r w:rsidRPr="003E696A">
              <w:rPr>
                <w:rFonts w:cs="Arial"/>
                <w:color w:val="000000"/>
              </w:rPr>
              <w:t xml:space="preserve"> Õppematerjalid koosnevad teoreetilisest osast, mida illustreerivad näidisülesanded. </w:t>
            </w:r>
          </w:p>
        </w:tc>
      </w:tr>
    </w:tbl>
    <w:p w:rsidR="00A36DFE" w:rsidRDefault="00A36DFE">
      <w:pPr>
        <w:spacing w:after="0" w:line="240" w:lineRule="auto"/>
        <w:rPr>
          <w:rFonts w:eastAsia="Times New Roman"/>
          <w:b/>
          <w:bCs/>
          <w:sz w:val="8"/>
          <w:szCs w:val="8"/>
          <w:lang w:eastAsia="et-EE"/>
        </w:rPr>
      </w:pPr>
    </w:p>
    <w:tbl>
      <w:tblPr>
        <w:tblW w:w="10456" w:type="dxa"/>
        <w:tblInd w:w="-5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72"/>
        <w:gridCol w:w="1984"/>
      </w:tblGrid>
      <w:tr w:rsidR="00A36DFE" w:rsidTr="00523848">
        <w:tc>
          <w:tcPr>
            <w:tcW w:w="8472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spacing w:before="40" w:after="0" w:line="240" w:lineRule="auto"/>
              <w:rPr>
                <w:rFonts w:eastAsia="Times New Roman"/>
                <w:b/>
                <w:lang w:eastAsia="et-EE"/>
              </w:rPr>
            </w:pPr>
            <w:r>
              <w:rPr>
                <w:rFonts w:eastAsia="Times New Roman"/>
                <w:b/>
                <w:lang w:eastAsia="et-EE"/>
              </w:rPr>
              <w:t xml:space="preserve">Teemad      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spacing w:after="0" w:line="240" w:lineRule="auto"/>
            </w:pPr>
            <w:r>
              <w:rPr>
                <w:rFonts w:eastAsia="Times New Roman"/>
                <w:b/>
                <w:lang w:eastAsia="et-EE"/>
              </w:rPr>
              <w:t>Hinnatavad tööd</w:t>
            </w:r>
          </w:p>
        </w:tc>
      </w:tr>
      <w:tr w:rsidR="00A36DFE" w:rsidTr="00523848">
        <w:tc>
          <w:tcPr>
            <w:tcW w:w="8472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spacing w:after="0" w:line="240" w:lineRule="auto"/>
              <w:jc w:val="both"/>
            </w:pPr>
            <w:r>
              <w:rPr>
                <w:b/>
              </w:rPr>
              <w:t>1. Määratud brutovalemitest orgaaniliste ühendite isomeeride leidmine.</w:t>
            </w:r>
          </w:p>
          <w:p w:rsidR="00A36DFE" w:rsidRDefault="00BB526D">
            <w:pPr>
              <w:spacing w:before="60" w:after="0" w:line="240" w:lineRule="auto"/>
            </w:pPr>
            <w:r>
              <w:rPr>
                <w:rFonts w:eastAsia="Times New Roman" w:cs="Arial"/>
                <w:lang w:eastAsia="et-EE"/>
              </w:rPr>
              <w:t>Orgaanilise ühendi tuvastamine tuginedes brutovalemitele ning erinevatele seostele orgaaniliste aineklasside vahel.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rPr>
                <w:rFonts w:eastAsia="Times New Roman"/>
                <w:b/>
                <w:lang w:eastAsia="et-EE"/>
              </w:rPr>
            </w:pPr>
            <w:r>
              <w:rPr>
                <w:rFonts w:eastAsia="Times New Roman"/>
                <w:lang w:eastAsia="et-EE"/>
              </w:rPr>
              <w:t>Kontrolltöö</w:t>
            </w:r>
          </w:p>
        </w:tc>
      </w:tr>
      <w:tr w:rsidR="00A36DFE" w:rsidTr="00523848">
        <w:tc>
          <w:tcPr>
            <w:tcW w:w="8472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spacing w:after="0"/>
            </w:pPr>
            <w:r>
              <w:rPr>
                <w:rFonts w:hAnsiTheme="minorHAnsi" w:cstheme="minorHAnsi"/>
                <w:b/>
              </w:rPr>
              <w:t>2. Arvutusülesannete lahendamine ühikanalüüsile tuginedes</w:t>
            </w:r>
            <w:r w:rsidR="003E696A">
              <w:rPr>
                <w:rFonts w:hAnsiTheme="minorHAnsi" w:cstheme="minorHAnsi"/>
                <w:b/>
              </w:rPr>
              <w:t>.  II osa</w:t>
            </w:r>
          </w:p>
          <w:p w:rsidR="00A36DFE" w:rsidRDefault="00BB526D">
            <w:pPr>
              <w:spacing w:after="0" w:line="240" w:lineRule="auto"/>
            </w:pPr>
            <w:r>
              <w:rPr>
                <w:rFonts w:hAnsiTheme="minorHAnsi" w:cstheme="minorHAnsi"/>
              </w:rPr>
              <w:t>Tutvutakse füüsikaliste suurustega ning õpitakse nende abil lahendama ülesandeid, mis esmapilgul võivad nõuda täiendavaid teooriateadmisi.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rPr>
                <w:rFonts w:eastAsia="Times New Roman"/>
                <w:b/>
                <w:lang w:eastAsia="et-EE"/>
              </w:rPr>
            </w:pPr>
            <w:r>
              <w:rPr>
                <w:rFonts w:eastAsia="Times New Roman"/>
                <w:lang w:eastAsia="et-EE"/>
              </w:rPr>
              <w:t>Kontrolltöö</w:t>
            </w:r>
          </w:p>
        </w:tc>
      </w:tr>
      <w:tr w:rsidR="00A36DFE" w:rsidTr="00523848">
        <w:tc>
          <w:tcPr>
            <w:tcW w:w="8472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spacing w:after="0"/>
            </w:pPr>
            <w:r>
              <w:rPr>
                <w:rFonts w:hAnsiTheme="minorHAnsi" w:cstheme="minorHAnsi"/>
                <w:b/>
              </w:rPr>
              <w:t xml:space="preserve">3. </w:t>
            </w:r>
            <w:r>
              <w:rPr>
                <w:rFonts w:eastAsia="Times New Roman" w:hAnsiTheme="minorHAnsi" w:cstheme="minorHAnsi"/>
                <w:b/>
                <w:lang w:eastAsia="et-EE"/>
              </w:rPr>
              <w:t>Ainete valemite määramine elemendi protsendilise sisalduse põhjal</w:t>
            </w:r>
            <w:r w:rsidR="003E696A">
              <w:rPr>
                <w:rFonts w:eastAsia="Times New Roman" w:hAnsiTheme="minorHAnsi" w:cstheme="minorHAnsi"/>
                <w:b/>
                <w:lang w:eastAsia="et-EE"/>
              </w:rPr>
              <w:t>.  II osa</w:t>
            </w:r>
          </w:p>
          <w:p w:rsidR="00A36DFE" w:rsidRDefault="00BB526D">
            <w:pPr>
              <w:spacing w:after="0" w:line="240" w:lineRule="auto"/>
            </w:pPr>
            <w:r>
              <w:rPr>
                <w:rFonts w:hAnsiTheme="minorHAnsi" w:cstheme="minorHAnsi"/>
              </w:rPr>
              <w:t>Vaadeldakse valemite leidmist, lähtudes elemendi protsendilisest sisaldusest.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rPr>
                <w:rFonts w:eastAsia="Times New Roman"/>
                <w:b/>
                <w:lang w:eastAsia="et-EE"/>
              </w:rPr>
            </w:pPr>
            <w:r>
              <w:rPr>
                <w:rFonts w:eastAsia="Times New Roman"/>
                <w:lang w:eastAsia="et-EE"/>
              </w:rPr>
              <w:t>Kontrolltöö</w:t>
            </w:r>
          </w:p>
        </w:tc>
      </w:tr>
      <w:tr w:rsidR="00A36DFE" w:rsidTr="00523848">
        <w:tc>
          <w:tcPr>
            <w:tcW w:w="8472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spacing w:after="0"/>
            </w:pPr>
            <w:r>
              <w:rPr>
                <w:rFonts w:hAnsiTheme="minorHAnsi" w:cstheme="minorHAnsi"/>
                <w:b/>
              </w:rPr>
              <w:t>4. Loogikaülesanded</w:t>
            </w:r>
          </w:p>
          <w:p w:rsidR="00A36DFE" w:rsidRDefault="00BB526D">
            <w:pPr>
              <w:spacing w:after="0"/>
            </w:pPr>
            <w:r>
              <w:rPr>
                <w:rFonts w:hAnsiTheme="minorHAnsi" w:cstheme="minorHAnsi"/>
              </w:rPr>
              <w:lastRenderedPageBreak/>
              <w:t>Vaadeldakse loogikaülesannete lahendamist (vt näited).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rPr>
                <w:rFonts w:eastAsia="Times New Roman"/>
                <w:b/>
                <w:lang w:eastAsia="et-EE"/>
              </w:rPr>
            </w:pPr>
            <w:r>
              <w:rPr>
                <w:rFonts w:eastAsia="Times New Roman"/>
                <w:lang w:eastAsia="et-EE"/>
              </w:rPr>
              <w:lastRenderedPageBreak/>
              <w:t>Kontrolltöö</w:t>
            </w:r>
          </w:p>
        </w:tc>
      </w:tr>
      <w:tr w:rsidR="00A36DFE" w:rsidTr="00523848">
        <w:tc>
          <w:tcPr>
            <w:tcW w:w="8472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spacing w:after="0"/>
            </w:pPr>
            <w:r>
              <w:rPr>
                <w:rFonts w:hAnsiTheme="minorHAnsi" w:cstheme="minorHAnsi"/>
                <w:b/>
              </w:rPr>
              <w:t>5. Nuputamisülesanded</w:t>
            </w:r>
          </w:p>
          <w:p w:rsidR="00A36DFE" w:rsidRDefault="00BB526D">
            <w:pPr>
              <w:spacing w:after="0" w:line="240" w:lineRule="auto"/>
            </w:pPr>
            <w:r>
              <w:rPr>
                <w:rFonts w:hAnsiTheme="minorHAnsi" w:cs="Arial"/>
              </w:rPr>
              <w:t>Vaadeldakse nuputamisülesannete lahendamist (vt näited)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A36DFE" w:rsidRDefault="00BB526D">
            <w:pPr>
              <w:rPr>
                <w:rFonts w:eastAsia="Times New Roman"/>
                <w:b/>
                <w:lang w:eastAsia="et-EE"/>
              </w:rPr>
            </w:pPr>
            <w:r>
              <w:rPr>
                <w:rFonts w:eastAsia="Times New Roman"/>
                <w:lang w:eastAsia="et-EE"/>
              </w:rPr>
              <w:t>Kontrolltöö</w:t>
            </w:r>
          </w:p>
        </w:tc>
      </w:tr>
    </w:tbl>
    <w:p w:rsidR="00A36DFE" w:rsidRDefault="004526E7">
      <w:pPr>
        <w:pStyle w:val="Heading1"/>
      </w:pPr>
      <w:proofErr w:type="spellStart"/>
      <w:r>
        <w:rPr>
          <w:color w:val="0070C0"/>
        </w:rPr>
        <w:t>Näidisülesanded</w:t>
      </w:r>
      <w:proofErr w:type="spellEnd"/>
      <w:r w:rsidR="00BB526D">
        <w:rPr>
          <w:color w:val="0070C0"/>
        </w:rPr>
        <w:t>:</w:t>
      </w:r>
    </w:p>
    <w:p w:rsidR="00A36DFE" w:rsidRDefault="00A36DFE">
      <w:pPr>
        <w:pStyle w:val="Heading1"/>
        <w:rPr>
          <w:color w:val="0070C0"/>
        </w:rPr>
      </w:pPr>
    </w:p>
    <w:p w:rsidR="00A36DFE" w:rsidRPr="00636513" w:rsidRDefault="00BB526D">
      <w:pPr>
        <w:pStyle w:val="ListParagraph"/>
        <w:numPr>
          <w:ilvl w:val="0"/>
          <w:numId w:val="3"/>
        </w:numPr>
        <w:spacing w:after="160" w:line="259" w:lineRule="auto"/>
        <w:rPr>
          <w:color w:val="auto"/>
        </w:rPr>
      </w:pPr>
      <w:r w:rsidRPr="00636513">
        <w:rPr>
          <w:rFonts w:hAnsiTheme="minorHAnsi" w:cstheme="minorHAnsi"/>
          <w:color w:val="auto"/>
        </w:rPr>
        <w:t>Süsivesiniku (0,2 mooli) põlemisel tekkis tahm (2,4 g), süsihappegaas (13,44 dm</w:t>
      </w:r>
      <w:r w:rsidRPr="00636513">
        <w:rPr>
          <w:rFonts w:hAnsiTheme="minorHAnsi" w:cstheme="minorHAnsi"/>
          <w:color w:val="auto"/>
          <w:vertAlign w:val="superscript"/>
        </w:rPr>
        <w:t>3</w:t>
      </w:r>
      <w:r w:rsidRPr="00636513">
        <w:rPr>
          <w:rFonts w:hAnsiTheme="minorHAnsi" w:cstheme="minorHAnsi"/>
          <w:color w:val="auto"/>
        </w:rPr>
        <w:t>, n.t.) ja vesi (14,43 cm</w:t>
      </w:r>
      <w:r w:rsidRPr="00636513">
        <w:rPr>
          <w:rFonts w:hAnsiTheme="minorHAnsi" w:cstheme="minorHAnsi"/>
          <w:color w:val="auto"/>
          <w:vertAlign w:val="superscript"/>
        </w:rPr>
        <w:t>3</w:t>
      </w:r>
      <w:r w:rsidRPr="00636513">
        <w:rPr>
          <w:rFonts w:hAnsiTheme="minorHAnsi" w:cstheme="minorHAnsi"/>
          <w:color w:val="auto"/>
        </w:rPr>
        <w:t>, 20 °C, 0,9982 g/cm</w:t>
      </w:r>
      <w:r w:rsidRPr="00636513">
        <w:rPr>
          <w:rFonts w:hAnsiTheme="minorHAnsi" w:cstheme="minorHAnsi"/>
          <w:color w:val="auto"/>
          <w:vertAlign w:val="superscript"/>
        </w:rPr>
        <w:t>3</w:t>
      </w:r>
      <w:r w:rsidRPr="00636513">
        <w:rPr>
          <w:rFonts w:hAnsiTheme="minorHAnsi" w:cstheme="minorHAnsi"/>
          <w:color w:val="auto"/>
        </w:rPr>
        <w:t>). Joonistage süsivesiniku isomeeride struktuurivalemid.</w:t>
      </w:r>
    </w:p>
    <w:p w:rsidR="00A36DFE" w:rsidRPr="00636513" w:rsidRDefault="00BB526D">
      <w:pPr>
        <w:pStyle w:val="ListParagraph"/>
        <w:numPr>
          <w:ilvl w:val="0"/>
          <w:numId w:val="3"/>
        </w:numPr>
        <w:spacing w:after="160" w:line="259" w:lineRule="auto"/>
        <w:rPr>
          <w:color w:val="auto"/>
        </w:rPr>
      </w:pPr>
      <w:r w:rsidRPr="00636513">
        <w:rPr>
          <w:rFonts w:hAnsiTheme="minorHAnsi" w:cstheme="minorHAnsi"/>
          <w:color w:val="auto"/>
        </w:rPr>
        <w:t xml:space="preserve">Tuntud õlitilga langemise eksperimendis määras </w:t>
      </w:r>
      <w:proofErr w:type="spellStart"/>
      <w:r w:rsidRPr="00636513">
        <w:rPr>
          <w:rFonts w:hAnsiTheme="minorHAnsi" w:cstheme="minorHAnsi"/>
          <w:color w:val="auto"/>
        </w:rPr>
        <w:t>Millikes</w:t>
      </w:r>
      <w:proofErr w:type="spellEnd"/>
      <w:r w:rsidRPr="00636513">
        <w:rPr>
          <w:rFonts w:hAnsiTheme="minorHAnsi" w:cstheme="minorHAnsi"/>
          <w:color w:val="auto"/>
        </w:rPr>
        <w:t xml:space="preserve"> 1913 a. elementaarse elektrilaengu väärtuse (1,593·10</w:t>
      </w:r>
      <w:r w:rsidRPr="00636513">
        <w:rPr>
          <w:rFonts w:hAnsiTheme="minorHAnsi" w:cstheme="minorHAnsi"/>
          <w:color w:val="auto"/>
          <w:vertAlign w:val="superscript"/>
        </w:rPr>
        <w:t>−19</w:t>
      </w:r>
      <w:r w:rsidRPr="00636513">
        <w:rPr>
          <w:rFonts w:hAnsiTheme="minorHAnsi" w:cstheme="minorHAnsi"/>
          <w:color w:val="auto"/>
        </w:rPr>
        <w:t xml:space="preserve"> C). Arvutage </w:t>
      </w:r>
      <w:proofErr w:type="spellStart"/>
      <w:r w:rsidRPr="00636513">
        <w:rPr>
          <w:rFonts w:hAnsiTheme="minorHAnsi" w:cstheme="minorHAnsi"/>
          <w:color w:val="auto"/>
        </w:rPr>
        <w:t>Avogadro</w:t>
      </w:r>
      <w:proofErr w:type="spellEnd"/>
      <w:r w:rsidRPr="00636513">
        <w:rPr>
          <w:rFonts w:hAnsiTheme="minorHAnsi" w:cstheme="minorHAnsi"/>
          <w:color w:val="auto"/>
        </w:rPr>
        <w:t xml:space="preserve"> väärtus teades, et tol ajal teatud Faraday konstant oli võrdeline 96496 C/</w:t>
      </w:r>
      <w:proofErr w:type="spellStart"/>
      <w:r w:rsidRPr="00636513">
        <w:rPr>
          <w:rFonts w:hAnsiTheme="minorHAnsi" w:cstheme="minorHAnsi"/>
          <w:color w:val="auto"/>
        </w:rPr>
        <w:t>mol</w:t>
      </w:r>
      <w:proofErr w:type="spellEnd"/>
      <w:r w:rsidRPr="00636513">
        <w:rPr>
          <w:rFonts w:hAnsiTheme="minorHAnsi" w:cstheme="minorHAnsi"/>
          <w:color w:val="auto"/>
        </w:rPr>
        <w:t>.</w:t>
      </w:r>
    </w:p>
    <w:p w:rsidR="00A36DFE" w:rsidRPr="00636513" w:rsidRDefault="00BB526D">
      <w:pPr>
        <w:pStyle w:val="ListParagraph"/>
        <w:numPr>
          <w:ilvl w:val="0"/>
          <w:numId w:val="3"/>
        </w:numPr>
        <w:spacing w:after="160" w:line="259" w:lineRule="auto"/>
        <w:rPr>
          <w:color w:val="auto"/>
        </w:rPr>
      </w:pPr>
      <w:r w:rsidRPr="00636513">
        <w:rPr>
          <w:rFonts w:hAnsiTheme="minorHAnsi" w:cstheme="minorHAnsi"/>
          <w:color w:val="auto"/>
        </w:rPr>
        <w:t xml:space="preserve">Ühe </w:t>
      </w:r>
      <w:proofErr w:type="spellStart"/>
      <w:r w:rsidRPr="00636513">
        <w:rPr>
          <w:rFonts w:hAnsiTheme="minorHAnsi" w:cstheme="minorHAnsi"/>
          <w:color w:val="auto"/>
        </w:rPr>
        <w:t>halogeniidi</w:t>
      </w:r>
      <w:proofErr w:type="spellEnd"/>
      <w:r w:rsidRPr="00636513">
        <w:rPr>
          <w:rFonts w:hAnsiTheme="minorHAnsi" w:cstheme="minorHAnsi"/>
          <w:color w:val="auto"/>
        </w:rPr>
        <w:t xml:space="preserve"> ja lihtaine X reaktsiooni käigus moodustub kollast värvi punaka varjundiga vedelik. Raualaastude lisamisel reaktsioonisegusse ja kloori läbijuhtimisel  segust moodustub tumepunane vedelik. Elemendi X massiprotsendiline sisaldus ainetes  on vastavalt 47,4% ja 31,1%. Leidke ühendite valemid.</w:t>
      </w:r>
    </w:p>
    <w:p w:rsidR="00A36DFE" w:rsidRPr="00636513" w:rsidRDefault="00BB526D">
      <w:pPr>
        <w:pStyle w:val="ListParagraph"/>
        <w:numPr>
          <w:ilvl w:val="0"/>
          <w:numId w:val="3"/>
        </w:numPr>
        <w:spacing w:after="160" w:line="259" w:lineRule="auto"/>
        <w:rPr>
          <w:color w:val="auto"/>
        </w:rPr>
      </w:pPr>
      <w:proofErr w:type="spellStart"/>
      <w:r w:rsidRPr="00636513">
        <w:rPr>
          <w:rFonts w:hAnsiTheme="minorHAnsi" w:cstheme="minorHAnsi"/>
          <w:color w:val="auto"/>
        </w:rPr>
        <w:t>Kalifornia</w:t>
      </w:r>
      <w:proofErr w:type="spellEnd"/>
      <w:r w:rsidRPr="00636513">
        <w:rPr>
          <w:rFonts w:hAnsiTheme="minorHAnsi" w:cstheme="minorHAnsi"/>
          <w:color w:val="auto"/>
        </w:rPr>
        <w:t xml:space="preserve"> ülikooli teadlased avaldasid 1998.a. ajakirjas </w:t>
      </w:r>
      <w:proofErr w:type="spellStart"/>
      <w:r w:rsidRPr="00636513">
        <w:rPr>
          <w:rFonts w:hAnsiTheme="minorHAnsi" w:cstheme="minorHAnsi"/>
          <w:color w:val="auto"/>
        </w:rPr>
        <w:t>Nature</w:t>
      </w:r>
      <w:proofErr w:type="spellEnd"/>
      <w:r w:rsidRPr="00636513">
        <w:rPr>
          <w:rFonts w:hAnsiTheme="minorHAnsi" w:cstheme="minorHAnsi"/>
          <w:color w:val="auto"/>
        </w:rPr>
        <w:t xml:space="preserve"> järgmise uurimistöö tulemused. Aine X saamiseks tekitatakse grafiitelektroodide vahel heeliumi atmosfääris 100 A voolutugevusega kaarlahendust. 10 minuti vältel </w:t>
      </w:r>
      <w:proofErr w:type="spellStart"/>
      <w:r w:rsidRPr="00636513">
        <w:rPr>
          <w:rFonts w:hAnsiTheme="minorHAnsi" w:cstheme="minorHAnsi"/>
          <w:color w:val="auto"/>
        </w:rPr>
        <w:t>sadeneb</w:t>
      </w:r>
      <w:proofErr w:type="spellEnd"/>
      <w:r w:rsidRPr="00636513">
        <w:rPr>
          <w:rFonts w:hAnsiTheme="minorHAnsi" w:cstheme="minorHAnsi"/>
          <w:color w:val="auto"/>
        </w:rPr>
        <w:t xml:space="preserve"> 10 cm kaugusele paigutatud inertsele metallplaadile 10 µm paksune ainekiht. Selle aine mass-</w:t>
      </w:r>
      <w:proofErr w:type="spellStart"/>
      <w:r w:rsidRPr="00636513">
        <w:rPr>
          <w:rFonts w:hAnsiTheme="minorHAnsi" w:cstheme="minorHAnsi"/>
          <w:color w:val="auto"/>
        </w:rPr>
        <w:t>spektromeetrilisel</w:t>
      </w:r>
      <w:proofErr w:type="spellEnd"/>
      <w:r w:rsidRPr="00636513">
        <w:rPr>
          <w:rFonts w:hAnsiTheme="minorHAnsi" w:cstheme="minorHAnsi"/>
          <w:color w:val="auto"/>
        </w:rPr>
        <w:t xml:space="preserve"> analüüsil saadi kaks sama intensiivsusega piiki, millele vastasid osakeste massid 432 </w:t>
      </w:r>
      <w:proofErr w:type="spellStart"/>
      <w:r w:rsidRPr="00636513">
        <w:rPr>
          <w:rFonts w:hAnsiTheme="minorHAnsi" w:cstheme="minorHAnsi"/>
          <w:color w:val="auto"/>
        </w:rPr>
        <w:t>amü</w:t>
      </w:r>
      <w:proofErr w:type="spellEnd"/>
      <w:r w:rsidRPr="00636513">
        <w:rPr>
          <w:rFonts w:hAnsiTheme="minorHAnsi" w:cstheme="minorHAnsi"/>
          <w:color w:val="auto"/>
        </w:rPr>
        <w:t xml:space="preserve"> (aine XI) ja 720 </w:t>
      </w:r>
      <w:proofErr w:type="spellStart"/>
      <w:r w:rsidRPr="00636513">
        <w:rPr>
          <w:rFonts w:hAnsiTheme="minorHAnsi" w:cstheme="minorHAnsi"/>
          <w:color w:val="auto"/>
        </w:rPr>
        <w:t>amü</w:t>
      </w:r>
      <w:proofErr w:type="spellEnd"/>
      <w:r w:rsidRPr="00636513">
        <w:rPr>
          <w:rFonts w:hAnsiTheme="minorHAnsi" w:cstheme="minorHAnsi"/>
          <w:color w:val="auto"/>
        </w:rPr>
        <w:t xml:space="preserve"> (aine XII). Lisaks nendele oli kolmas piik, mille intensiivsus oli 10 korda nõrgem. Sellele piigile vastava aine (XIII) osakeste mass oli 840 </w:t>
      </w:r>
      <w:proofErr w:type="spellStart"/>
      <w:r w:rsidRPr="00636513">
        <w:rPr>
          <w:rFonts w:hAnsiTheme="minorHAnsi" w:cstheme="minorHAnsi"/>
          <w:color w:val="auto"/>
        </w:rPr>
        <w:t>amü</w:t>
      </w:r>
      <w:proofErr w:type="spellEnd"/>
      <w:r w:rsidRPr="00636513">
        <w:rPr>
          <w:rFonts w:hAnsiTheme="minorHAnsi" w:cstheme="minorHAnsi"/>
          <w:color w:val="auto"/>
        </w:rPr>
        <w:t xml:space="preserve">. Kirjutada ainete XI, XII ja XIII valemid. </w:t>
      </w:r>
    </w:p>
    <w:p w:rsidR="00A36DFE" w:rsidRPr="00636513" w:rsidRDefault="00BB526D">
      <w:pPr>
        <w:pStyle w:val="ListParagraph"/>
        <w:numPr>
          <w:ilvl w:val="0"/>
          <w:numId w:val="3"/>
        </w:numPr>
        <w:spacing w:after="160" w:line="259" w:lineRule="auto"/>
        <w:rPr>
          <w:color w:val="auto"/>
        </w:rPr>
      </w:pPr>
      <w:r w:rsidRPr="00636513">
        <w:rPr>
          <w:rFonts w:hAnsiTheme="minorHAnsi" w:cstheme="minorHAnsi"/>
          <w:color w:val="auto"/>
        </w:rPr>
        <w:t>Sinist värvi kristalliline aine A kaotab kuumutamisel oma esialgse värvuse ja muutub valgeks pulbriliseks aineks B ning aineks C. Aine B laguneb väga tugeval kuumutamisel musta värvi ühendiks D ja aineks E. Aine A reaktsioonil naatriumhüdroksiidi lahusega moodustub aine F sade. Aine F kuumutamisel moodustuvad ained C ja D. Andke kõikidele tähtedele vastavate ühendite nimetused.</w:t>
      </w:r>
    </w:p>
    <w:p w:rsidR="00A36DFE" w:rsidRDefault="00A36DFE">
      <w:pPr>
        <w:spacing w:after="0" w:line="240" w:lineRule="auto"/>
      </w:pPr>
    </w:p>
    <w:sectPr w:rsidR="00A36DFE">
      <w:pgSz w:w="11906" w:h="16838"/>
      <w:pgMar w:top="624" w:right="851" w:bottom="624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253E"/>
    <w:multiLevelType w:val="multilevel"/>
    <w:tmpl w:val="D618FC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53791F"/>
    <w:multiLevelType w:val="hybridMultilevel"/>
    <w:tmpl w:val="F2F41D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4EBB"/>
    <w:multiLevelType w:val="multilevel"/>
    <w:tmpl w:val="2E861A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22A96"/>
    <w:multiLevelType w:val="multilevel"/>
    <w:tmpl w:val="CDD86E5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EA2EAE"/>
    <w:multiLevelType w:val="multilevel"/>
    <w:tmpl w:val="2B5A6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E6F23"/>
    <w:multiLevelType w:val="multilevel"/>
    <w:tmpl w:val="9C34F7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FE"/>
    <w:rsid w:val="00066D98"/>
    <w:rsid w:val="00146868"/>
    <w:rsid w:val="00163A8F"/>
    <w:rsid w:val="001B0FFC"/>
    <w:rsid w:val="00230EC2"/>
    <w:rsid w:val="003450D3"/>
    <w:rsid w:val="003E696A"/>
    <w:rsid w:val="004526E7"/>
    <w:rsid w:val="004747E0"/>
    <w:rsid w:val="00523848"/>
    <w:rsid w:val="00564BB4"/>
    <w:rsid w:val="006213B9"/>
    <w:rsid w:val="00636513"/>
    <w:rsid w:val="006E2EFF"/>
    <w:rsid w:val="0070124C"/>
    <w:rsid w:val="007E5A7C"/>
    <w:rsid w:val="008F65EC"/>
    <w:rsid w:val="009A549D"/>
    <w:rsid w:val="00A36DFE"/>
    <w:rsid w:val="00A52AE3"/>
    <w:rsid w:val="00BB526D"/>
    <w:rsid w:val="00BC7EB4"/>
    <w:rsid w:val="00CF3A78"/>
    <w:rsid w:val="00D45DBF"/>
    <w:rsid w:val="00DB1CE6"/>
    <w:rsid w:val="00DB436F"/>
    <w:rsid w:val="00F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0FF35-2D27-4AF0-96CB-CC2B81F9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C2430C"/>
    <w:pPr>
      <w:widowControl w:val="0"/>
      <w:spacing w:before="51" w:after="0" w:line="240" w:lineRule="auto"/>
      <w:ind w:left="572"/>
      <w:outlineLvl w:val="0"/>
    </w:pPr>
    <w:rPr>
      <w:rFonts w:cstheme="minorBid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483E6D"/>
    <w:rPr>
      <w:strike w:val="0"/>
      <w:dstrike w:val="0"/>
      <w:color w:val="004974"/>
      <w:u w:val="none"/>
      <w:effect w:val="none"/>
    </w:rPr>
  </w:style>
  <w:style w:type="character" w:customStyle="1" w:styleId="BalloonTextChar">
    <w:name w:val="Balloon Text Char"/>
    <w:link w:val="BalloonText"/>
    <w:uiPriority w:val="99"/>
    <w:semiHidden/>
    <w:qFormat/>
    <w:rsid w:val="00483E6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36016"/>
    <w:rPr>
      <w:b/>
      <w:bCs/>
    </w:rPr>
  </w:style>
  <w:style w:type="character" w:styleId="CommentReference">
    <w:name w:val="annotation reference"/>
    <w:uiPriority w:val="99"/>
    <w:semiHidden/>
    <w:unhideWhenUsed/>
    <w:qFormat/>
    <w:rsid w:val="00C36016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qFormat/>
    <w:rsid w:val="00C36016"/>
    <w:rPr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C36016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C2430C"/>
    <w:rPr>
      <w:rFonts w:cstheme="minorBidi"/>
      <w:b/>
      <w:bCs/>
      <w:sz w:val="24"/>
      <w:szCs w:val="24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ascii="Calibri" w:hAnsi="Calibri"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  <w:sz w:val="24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Wingdings"/>
      <w:b/>
      <w:sz w:val="24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483E6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paanid1">
    <w:name w:val="paanid1"/>
    <w:basedOn w:val="Normal"/>
    <w:qFormat/>
    <w:rsid w:val="00483E6D"/>
    <w:pPr>
      <w:spacing w:before="15" w:after="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83E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4E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C36016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36016"/>
    <w:rPr>
      <w:b/>
      <w:bCs/>
    </w:rPr>
  </w:style>
  <w:style w:type="table" w:customStyle="1" w:styleId="Normaaltabel1">
    <w:name w:val="Normaaltabel1"/>
    <w:uiPriority w:val="99"/>
    <w:semiHidden/>
    <w:qFormat/>
    <w:rsid w:val="00483E6D"/>
    <w:rPr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C64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58FB-0643-4E08-9703-DEC93257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623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Annika Põlgast</cp:lastModifiedBy>
  <cp:revision>8</cp:revision>
  <cp:lastPrinted>2020-08-24T08:32:00Z</cp:lastPrinted>
  <dcterms:created xsi:type="dcterms:W3CDTF">2023-06-29T07:47:00Z</dcterms:created>
  <dcterms:modified xsi:type="dcterms:W3CDTF">2025-08-05T11:22:00Z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